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900"/>
        </w:tabs>
        <w:spacing w:line="320" w:lineRule="exact"/>
        <w:jc w:val="center"/>
        <w:rPr>
          <w:rFonts w:hint="eastAsia" w:ascii="黑体" w:hAnsi="黑体" w:eastAsia="黑体" w:cs="黑体"/>
          <w:b w:val="0"/>
          <w:bCs w:val="0"/>
          <w:color w:val="auto"/>
          <w:sz w:val="32"/>
        </w:rPr>
      </w:pPr>
      <w:r>
        <w:rPr>
          <w:rStyle w:val="7"/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广东大道检测技术有限公司</w:t>
      </w:r>
    </w:p>
    <w:p>
      <w:pPr>
        <w:tabs>
          <w:tab w:val="left" w:pos="9900"/>
        </w:tabs>
        <w:spacing w:line="320" w:lineRule="exact"/>
        <w:jc w:val="center"/>
        <w:rPr>
          <w:rStyle w:val="7"/>
          <w:rFonts w:hint="eastAsia" w:ascii="宋体" w:hAnsi="宋体" w:eastAsia="宋体" w:cs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砂浆（拌合物）配合比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验证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委托单</w:t>
      </w:r>
    </w:p>
    <w:p>
      <w:pPr>
        <w:tabs>
          <w:tab w:val="left" w:pos="9900"/>
        </w:tabs>
        <w:spacing w:line="300" w:lineRule="exact"/>
        <w:ind w:right="-1594" w:rightChars="-759"/>
        <w:rPr>
          <w:rFonts w:ascii="宋体" w:hAnsi="宋体"/>
          <w:color w:val="auto"/>
        </w:rPr>
      </w:pPr>
      <w:r>
        <w:rPr>
          <w:rFonts w:hint="eastAsia" w:ascii="宋体" w:hAnsi="宋体"/>
          <w:color w:val="auto"/>
        </w:rPr>
        <w:t xml:space="preserve">管理编号： </w:t>
      </w:r>
      <w:r>
        <w:rPr>
          <w:rFonts w:hint="eastAsia" w:ascii="宋体" w:hAnsi="宋体" w:cs="宋体"/>
          <w:color w:val="auto"/>
          <w:kern w:val="0"/>
          <w:sz w:val="20"/>
          <w:szCs w:val="20"/>
        </w:rPr>
        <w:t xml:space="preserve">DDJC/ZL13-A028                                  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见证卡号：</w:t>
      </w:r>
      <w:r>
        <w:rPr>
          <w:rFonts w:hint="eastAsia" w:ascii="宋体" w:hAnsi="宋体"/>
          <w:color w:val="auto"/>
        </w:rPr>
        <w:t xml:space="preserve">                                    委托编号：</w:t>
      </w:r>
    </w:p>
    <w:tbl>
      <w:tblPr>
        <w:tblStyle w:val="5"/>
        <w:tblW w:w="16787" w:type="dxa"/>
        <w:tblInd w:w="-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1395"/>
        <w:gridCol w:w="633"/>
        <w:gridCol w:w="762"/>
        <w:gridCol w:w="813"/>
        <w:gridCol w:w="582"/>
        <w:gridCol w:w="1395"/>
        <w:gridCol w:w="74"/>
        <w:gridCol w:w="1786"/>
        <w:gridCol w:w="162"/>
        <w:gridCol w:w="846"/>
        <w:gridCol w:w="330"/>
        <w:gridCol w:w="522"/>
        <w:gridCol w:w="63"/>
        <w:gridCol w:w="46"/>
        <w:gridCol w:w="627"/>
        <w:gridCol w:w="242"/>
        <w:gridCol w:w="128"/>
        <w:gridCol w:w="705"/>
        <w:gridCol w:w="49"/>
        <w:gridCol w:w="33"/>
        <w:gridCol w:w="23"/>
        <w:gridCol w:w="892"/>
        <w:gridCol w:w="917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592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委托单位</w:t>
            </w:r>
          </w:p>
        </w:tc>
        <w:tc>
          <w:tcPr>
            <w:tcW w:w="5654" w:type="dxa"/>
            <w:gridSpan w:val="7"/>
            <w:tcBorders>
              <w:top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1948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见证人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/联系方式</w:t>
            </w:r>
          </w:p>
        </w:tc>
        <w:tc>
          <w:tcPr>
            <w:tcW w:w="2804" w:type="dxa"/>
            <w:gridSpan w:val="8"/>
            <w:tcBorders>
              <w:top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705" w:type="dxa"/>
            <w:vMerge w:val="restart"/>
            <w:tcBorders>
              <w:top w:val="single" w:color="auto" w:sz="1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检测类别</w:t>
            </w:r>
          </w:p>
        </w:tc>
        <w:tc>
          <w:tcPr>
            <w:tcW w:w="1914" w:type="dxa"/>
            <w:gridSpan w:val="5"/>
            <w:vMerge w:val="restart"/>
            <w:tcBorders>
              <w:top w:val="single" w:color="auto" w:sz="18" w:space="0"/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普通送检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见证送检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质监抽检</w:t>
            </w:r>
          </w:p>
          <w:p>
            <w:pPr>
              <w:jc w:val="center"/>
              <w:rPr>
                <w:rFonts w:hint="eastAsia" w:ascii="宋体" w:hAnsi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委托抽检</w:t>
            </w:r>
          </w:p>
        </w:tc>
        <w:tc>
          <w:tcPr>
            <w:tcW w:w="2170" w:type="dxa"/>
            <w:vMerge w:val="restart"/>
            <w:tcBorders>
              <w:top w:val="single" w:color="FFFFFF" w:sz="4" w:space="0"/>
              <w:left w:val="single" w:color="auto" w:sz="18" w:space="0"/>
              <w:right w:val="single" w:color="auto" w:sz="18" w:space="0"/>
            </w:tcBorders>
            <w:textDirection w:val="tbRlV"/>
            <w:vAlign w:val="center"/>
          </w:tcPr>
          <w:p>
            <w:pPr>
              <w:widowControl/>
              <w:spacing w:line="300" w:lineRule="exact"/>
              <w:ind w:left="113" w:right="113"/>
              <w:jc w:val="left"/>
              <w:rPr>
                <w:rFonts w:ascii="宋体" w:hAnsi="宋体"/>
                <w:color w:val="auto"/>
              </w:rPr>
            </w:pPr>
          </w:p>
          <w:p>
            <w:pPr>
              <w:tabs>
                <w:tab w:val="left" w:pos="9900"/>
              </w:tabs>
              <w:spacing w:line="300" w:lineRule="exact"/>
              <w:ind w:left="111" w:leftChars="53" w:right="-1594" w:rightChars="-759"/>
              <w:rPr>
                <w:rFonts w:ascii="宋体" w:hAnsi="宋体"/>
                <w:color w:val="auto"/>
              </w:rPr>
            </w:pPr>
          </w:p>
          <w:p>
            <w:pPr>
              <w:tabs>
                <w:tab w:val="left" w:pos="9900"/>
              </w:tabs>
              <w:spacing w:line="300" w:lineRule="exact"/>
              <w:ind w:left="111" w:leftChars="53" w:right="-1594" w:rightChars="-759"/>
              <w:rPr>
                <w:rFonts w:ascii="宋体" w:hAnsi="宋体"/>
                <w:color w:val="auto"/>
              </w:rPr>
            </w:pPr>
          </w:p>
          <w:p>
            <w:pPr>
              <w:tabs>
                <w:tab w:val="left" w:pos="9900"/>
              </w:tabs>
              <w:spacing w:line="300" w:lineRule="exact"/>
              <w:ind w:left="111" w:leftChars="53" w:right="-1594" w:rightChars="-759"/>
              <w:rPr>
                <w:rFonts w:ascii="宋体" w:hAnsi="宋体"/>
                <w:color w:val="auto"/>
              </w:rPr>
            </w:pPr>
          </w:p>
          <w:p>
            <w:pPr>
              <w:tabs>
                <w:tab w:val="left" w:pos="9900"/>
              </w:tabs>
              <w:spacing w:line="300" w:lineRule="exact"/>
              <w:ind w:right="-1594" w:rightChars="-759"/>
              <w:rPr>
                <w:rFonts w:ascii="宋体" w:hAnsi="宋体"/>
                <w:color w:val="auto"/>
              </w:rPr>
            </w:pPr>
          </w:p>
          <w:p>
            <w:pPr>
              <w:tabs>
                <w:tab w:val="left" w:pos="9900"/>
              </w:tabs>
              <w:spacing w:line="300" w:lineRule="exact"/>
              <w:ind w:left="111" w:leftChars="53" w:right="-1594" w:rightChars="-759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92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工程名称</w:t>
            </w:r>
          </w:p>
        </w:tc>
        <w:tc>
          <w:tcPr>
            <w:tcW w:w="5654" w:type="dxa"/>
            <w:gridSpan w:val="7"/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194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委托人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/联系方式</w:t>
            </w:r>
          </w:p>
        </w:tc>
        <w:tc>
          <w:tcPr>
            <w:tcW w:w="2804" w:type="dxa"/>
            <w:gridSpan w:val="8"/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705" w:type="dxa"/>
            <w:vMerge w:val="continue"/>
            <w:tcBorders>
              <w:right w:val="single" w:color="auto" w:sz="4" w:space="0"/>
            </w:tcBorders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914" w:type="dxa"/>
            <w:gridSpan w:val="5"/>
            <w:vMerge w:val="continue"/>
            <w:tcBorders>
              <w:left w:val="single" w:color="auto" w:sz="4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170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92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工程地点</w:t>
            </w:r>
          </w:p>
        </w:tc>
        <w:tc>
          <w:tcPr>
            <w:tcW w:w="5654" w:type="dxa"/>
            <w:gridSpan w:val="7"/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1948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委托日期</w:t>
            </w:r>
          </w:p>
        </w:tc>
        <w:tc>
          <w:tcPr>
            <w:tcW w:w="2804" w:type="dxa"/>
            <w:gridSpan w:val="8"/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705" w:type="dxa"/>
            <w:vMerge w:val="continue"/>
            <w:tcBorders>
              <w:right w:val="single" w:color="auto" w:sz="4" w:space="0"/>
            </w:tcBorders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914" w:type="dxa"/>
            <w:gridSpan w:val="5"/>
            <w:vMerge w:val="continue"/>
            <w:tcBorders>
              <w:left w:val="single" w:color="auto" w:sz="4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  <w:tc>
          <w:tcPr>
            <w:tcW w:w="2170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92" w:type="dxa"/>
            <w:tcBorders>
              <w:lef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见证单位</w:t>
            </w:r>
          </w:p>
        </w:tc>
        <w:tc>
          <w:tcPr>
            <w:tcW w:w="5654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9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检测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性质</w:t>
            </w:r>
          </w:p>
        </w:tc>
        <w:tc>
          <w:tcPr>
            <w:tcW w:w="5423" w:type="dxa"/>
            <w:gridSpan w:val="14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bidi w:val="0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□初检       □复检（初检报告编号：           ）</w:t>
            </w:r>
          </w:p>
        </w:tc>
        <w:tc>
          <w:tcPr>
            <w:tcW w:w="2170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592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砂浆类型</w:t>
            </w:r>
          </w:p>
        </w:tc>
        <w:tc>
          <w:tcPr>
            <w:tcW w:w="5654" w:type="dxa"/>
            <w:gridSpan w:val="7"/>
            <w:tcBorders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both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□ 水泥砂浆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□ 水泥混合砂浆□ 预拌砌筑砂浆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其他</w:t>
            </w:r>
          </w:p>
        </w:tc>
        <w:tc>
          <w:tcPr>
            <w:tcW w:w="19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 w:eastAsia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强度等级</w:t>
            </w:r>
          </w:p>
        </w:tc>
        <w:tc>
          <w:tcPr>
            <w:tcW w:w="180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07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抗渗等级</w:t>
            </w:r>
          </w:p>
        </w:tc>
        <w:tc>
          <w:tcPr>
            <w:tcW w:w="1809" w:type="dxa"/>
            <w:gridSpan w:val="2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170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1592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样品编号</w:t>
            </w:r>
          </w:p>
        </w:tc>
        <w:tc>
          <w:tcPr>
            <w:tcW w:w="5654" w:type="dxa"/>
            <w:gridSpan w:val="7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948" w:type="dxa"/>
            <w:gridSpan w:val="2"/>
            <w:tcBorders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样品名称</w:t>
            </w:r>
          </w:p>
        </w:tc>
        <w:tc>
          <w:tcPr>
            <w:tcW w:w="2434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180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稠度（mm）</w:t>
            </w:r>
          </w:p>
        </w:tc>
        <w:tc>
          <w:tcPr>
            <w:tcW w:w="18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170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1592" w:type="dxa"/>
            <w:tcBorders>
              <w:top w:val="single" w:color="auto" w:sz="4" w:space="0"/>
              <w:lef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Cs w:val="21"/>
              </w:rPr>
              <w:t>工程部位</w:t>
            </w:r>
          </w:p>
        </w:tc>
        <w:tc>
          <w:tcPr>
            <w:tcW w:w="13025" w:type="dxa"/>
            <w:gridSpan w:val="23"/>
            <w:tcBorders>
              <w:top w:val="single" w:color="auto" w:sz="4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170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</w:trPr>
        <w:tc>
          <w:tcPr>
            <w:tcW w:w="1592" w:type="dxa"/>
            <w:tcBorders>
              <w:lef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检测依据</w:t>
            </w:r>
          </w:p>
        </w:tc>
        <w:tc>
          <w:tcPr>
            <w:tcW w:w="5654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left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□《建筑砂浆基本性能试验方法》JGJ/T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70-2009</w:t>
            </w:r>
          </w:p>
          <w:p>
            <w:pPr>
              <w:tabs>
                <w:tab w:val="left" w:pos="9900"/>
              </w:tabs>
              <w:spacing w:line="300" w:lineRule="exact"/>
              <w:jc w:val="left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□《公路隧道施工技术细则》JTG∕T F60-2009</w:t>
            </w:r>
            <w:bookmarkStart w:id="0" w:name="_GoBack"/>
            <w:bookmarkEnd w:id="0"/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</w:t>
            </w:r>
          </w:p>
          <w:p>
            <w:pPr>
              <w:tabs>
                <w:tab w:val="left" w:pos="9900"/>
              </w:tabs>
              <w:spacing w:line="300" w:lineRule="exact"/>
              <w:jc w:val="left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□其他</w:t>
            </w:r>
          </w:p>
        </w:tc>
        <w:tc>
          <w:tcPr>
            <w:tcW w:w="194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判</w:t>
            </w:r>
            <w:r>
              <w:rPr>
                <w:rFonts w:hint="eastAsia" w:ascii="宋体" w:hAnsi="宋体"/>
                <w:color w:val="auto"/>
              </w:rPr>
              <w:t>定依据</w:t>
            </w:r>
          </w:p>
        </w:tc>
        <w:tc>
          <w:tcPr>
            <w:tcW w:w="5423" w:type="dxa"/>
            <w:gridSpan w:val="14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pStyle w:val="9"/>
              <w:numPr>
                <w:ilvl w:val="0"/>
                <w:numId w:val="1"/>
              </w:numPr>
              <w:tabs>
                <w:tab w:val="left" w:pos="9900"/>
              </w:tabs>
              <w:spacing w:line="300" w:lineRule="exact"/>
              <w:ind w:left="360" w:leftChars="0" w:hanging="360" w:firstLine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《砌筑砂浆配合比设计规程》 JGJ/T 98-2010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9900"/>
              </w:tabs>
              <w:spacing w:line="300" w:lineRule="exact"/>
              <w:ind w:left="360" w:leftChars="0" w:hanging="360" w:firstLineChars="0"/>
              <w:jc w:val="left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《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公路隧道施工技术细则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》 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JTG∕T F60-2009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                 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9900"/>
              </w:tabs>
              <w:spacing w:line="300" w:lineRule="exact"/>
              <w:ind w:left="360" w:leftChars="0" w:hanging="360" w:firstLine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其他</w:t>
            </w:r>
          </w:p>
        </w:tc>
        <w:tc>
          <w:tcPr>
            <w:tcW w:w="2170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1592" w:type="dxa"/>
            <w:tcBorders>
              <w:left w:val="single" w:color="auto" w:sz="18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检测项目</w:t>
            </w:r>
          </w:p>
        </w:tc>
        <w:tc>
          <w:tcPr>
            <w:tcW w:w="13025" w:type="dxa"/>
            <w:gridSpan w:val="23"/>
            <w:tcBorders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□稠度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</w:rPr>
              <w:t>□表观密度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</w:rPr>
              <w:t xml:space="preserve">□保水率 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抗压强度 </w:t>
            </w:r>
            <w:r>
              <w:rPr>
                <w:rFonts w:hint="eastAsia" w:ascii="宋体" w:hAnsi="宋体"/>
                <w:color w:val="auto"/>
              </w:rPr>
              <w:t xml:space="preserve"> □凝结时间 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 xml:space="preserve">□分层度  </w:t>
            </w:r>
            <w:r>
              <w:rPr>
                <w:rFonts w:hint="eastAsia" w:ascii="宋体" w:hAnsi="宋体"/>
                <w:color w:val="auto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拉伸粘结强度 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泌水率</w:t>
            </w:r>
            <w:r>
              <w:rPr>
                <w:rFonts w:hint="eastAsia" w:ascii="宋体" w:hAnsi="宋体"/>
                <w:color w:val="auto"/>
              </w:rPr>
              <w:t xml:space="preserve"> 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</w:rPr>
              <w:t>□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 xml:space="preserve">含气量  </w:t>
            </w:r>
            <w:r>
              <w:rPr>
                <w:rFonts w:hint="eastAsia" w:ascii="宋体" w:hAnsi="宋体"/>
                <w:color w:val="auto"/>
              </w:rPr>
              <w:t>□其他</w:t>
            </w:r>
          </w:p>
        </w:tc>
        <w:tc>
          <w:tcPr>
            <w:tcW w:w="2170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1592" w:type="dxa"/>
            <w:vMerge w:val="restart"/>
            <w:tcBorders>
              <w:top w:val="single" w:color="auto" w:sz="4" w:space="0"/>
              <w:lef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default" w:ascii="宋体" w:hAnsi="宋体"/>
                <w:color w:val="auto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原材品种</w:t>
            </w:r>
          </w:p>
        </w:tc>
        <w:tc>
          <w:tcPr>
            <w:tcW w:w="1395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水泥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default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细集料1</w:t>
            </w:r>
          </w:p>
        </w:tc>
        <w:tc>
          <w:tcPr>
            <w:tcW w:w="139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细集料2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水</w:t>
            </w:r>
          </w:p>
        </w:tc>
        <w:tc>
          <w:tcPr>
            <w:tcW w:w="18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掺合料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  <w:p>
            <w:pPr>
              <w:tabs>
                <w:tab w:val="left" w:pos="9900"/>
              </w:tabs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（掺量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%）</w:t>
            </w:r>
          </w:p>
        </w:tc>
        <w:tc>
          <w:tcPr>
            <w:tcW w:w="186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掺合料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  <w:p>
            <w:pPr>
              <w:tabs>
                <w:tab w:val="left" w:pos="9900"/>
              </w:tabs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（掺量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%）</w:t>
            </w:r>
          </w:p>
        </w:tc>
        <w:tc>
          <w:tcPr>
            <w:tcW w:w="186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外加剂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  <w:p>
            <w:pPr>
              <w:tabs>
                <w:tab w:val="left" w:pos="9900"/>
              </w:tabs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（掺量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%）</w:t>
            </w:r>
          </w:p>
        </w:tc>
        <w:tc>
          <w:tcPr>
            <w:tcW w:w="1865" w:type="dxa"/>
            <w:gridSpan w:val="4"/>
            <w:tcBorders>
              <w:top w:val="single" w:color="auto" w:sz="4" w:space="0"/>
              <w:left w:val="single" w:color="auto" w:sz="6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外加剂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  <w:p>
            <w:pPr>
              <w:tabs>
                <w:tab w:val="left" w:pos="9900"/>
              </w:tabs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（掺量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%）</w:t>
            </w:r>
          </w:p>
        </w:tc>
        <w:tc>
          <w:tcPr>
            <w:tcW w:w="2170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1592" w:type="dxa"/>
            <w:vMerge w:val="continue"/>
            <w:tcBorders>
              <w:left w:val="single" w:color="auto" w:sz="18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95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6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color w:val="auto"/>
              </w:rPr>
            </w:pPr>
          </w:p>
        </w:tc>
        <w:tc>
          <w:tcPr>
            <w:tcW w:w="1865" w:type="dxa"/>
            <w:gridSpan w:val="4"/>
            <w:tcBorders>
              <w:left w:val="single" w:color="auto" w:sz="4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170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592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原材配合比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（kg/m³）</w:t>
            </w:r>
          </w:p>
        </w:tc>
        <w:tc>
          <w:tcPr>
            <w:tcW w:w="1395" w:type="dxa"/>
            <w:tcBorders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95" w:type="dxa"/>
            <w:gridSpan w:val="2"/>
            <w:tcBorders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95" w:type="dxa"/>
            <w:gridSpan w:val="2"/>
            <w:tcBorders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95" w:type="dxa"/>
            <w:tcBorders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60" w:type="dxa"/>
            <w:gridSpan w:val="2"/>
            <w:tcBorders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60" w:type="dxa"/>
            <w:gridSpan w:val="4"/>
            <w:tcBorders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60" w:type="dxa"/>
            <w:gridSpan w:val="7"/>
            <w:tcBorders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color w:val="auto"/>
              </w:rPr>
            </w:pPr>
          </w:p>
        </w:tc>
        <w:tc>
          <w:tcPr>
            <w:tcW w:w="1865" w:type="dxa"/>
            <w:gridSpan w:val="4"/>
            <w:tcBorders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170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592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</w:tcBorders>
            <w:vAlign w:val="center"/>
          </w:tcPr>
          <w:p>
            <w:pPr>
              <w:tabs>
                <w:tab w:val="left" w:pos="9900"/>
              </w:tabs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原材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样品编号</w:t>
            </w:r>
          </w:p>
        </w:tc>
        <w:tc>
          <w:tcPr>
            <w:tcW w:w="1395" w:type="dxa"/>
            <w:tcBorders>
              <w:top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95" w:type="dxa"/>
            <w:gridSpan w:val="2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95" w:type="dxa"/>
            <w:gridSpan w:val="2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395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60" w:type="dxa"/>
            <w:gridSpan w:val="2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60" w:type="dxa"/>
            <w:gridSpan w:val="4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860" w:type="dxa"/>
            <w:gridSpan w:val="7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color w:val="auto"/>
              </w:rPr>
            </w:pPr>
          </w:p>
        </w:tc>
        <w:tc>
          <w:tcPr>
            <w:tcW w:w="1865" w:type="dxa"/>
            <w:gridSpan w:val="4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6" w:space="0"/>
            </w:tcBorders>
            <w:vAlign w:val="center"/>
          </w:tcPr>
          <w:p>
            <w:pPr>
              <w:tabs>
                <w:tab w:val="left" w:pos="9900"/>
              </w:tabs>
              <w:jc w:val="both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170" w:type="dxa"/>
            <w:vMerge w:val="continue"/>
            <w:tcBorders>
              <w:left w:val="single" w:color="auto" w:sz="6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1592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是否加急</w:t>
            </w:r>
          </w:p>
        </w:tc>
        <w:tc>
          <w:tcPr>
            <w:tcW w:w="2028" w:type="dxa"/>
            <w:gridSpan w:val="2"/>
            <w:tcBorders>
              <w:top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是</w:t>
            </w: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否</w:t>
            </w:r>
          </w:p>
        </w:tc>
        <w:tc>
          <w:tcPr>
            <w:tcW w:w="1575" w:type="dxa"/>
            <w:gridSpan w:val="2"/>
            <w:tcBorders>
              <w:top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样品处理意见</w:t>
            </w:r>
          </w:p>
        </w:tc>
        <w:tc>
          <w:tcPr>
            <w:tcW w:w="3999" w:type="dxa"/>
            <w:gridSpan w:val="5"/>
            <w:tcBorders>
              <w:top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委托保管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委托处理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>退样</w:t>
            </w:r>
          </w:p>
        </w:tc>
        <w:tc>
          <w:tcPr>
            <w:tcW w:w="1176" w:type="dxa"/>
            <w:gridSpan w:val="2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备注</w:t>
            </w:r>
          </w:p>
        </w:tc>
        <w:tc>
          <w:tcPr>
            <w:tcW w:w="4247" w:type="dxa"/>
            <w:gridSpan w:val="12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 xml:space="preserve">         </w:t>
            </w:r>
          </w:p>
        </w:tc>
        <w:tc>
          <w:tcPr>
            <w:tcW w:w="2170" w:type="dxa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0" w:hRule="atLeast"/>
        </w:trPr>
        <w:tc>
          <w:tcPr>
            <w:tcW w:w="1592" w:type="dxa"/>
            <w:tcBorders>
              <w:top w:val="single" w:color="auto" w:sz="18" w:space="0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说明</w:t>
            </w:r>
          </w:p>
        </w:tc>
        <w:tc>
          <w:tcPr>
            <w:tcW w:w="7602" w:type="dxa"/>
            <w:gridSpan w:val="9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1.委托方必须确认检测项目，对所提供的样品及相关资料的真实性负责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;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2.检测方保证检测的公正性，检测数据仅对来样负责，检测方为委托方提供的样品信息及有关资料保密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本协议经双方代表签字后生效；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见证人对见证送检样品的代表性和取样、送检的真实性负法律责任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both"/>
              <w:textAlignment w:val="auto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由于场地所限，需退样的请在收到退样通知起，20天内办理退样，逾期的由检测方自行处理。</w:t>
            </w:r>
          </w:p>
        </w:tc>
        <w:tc>
          <w:tcPr>
            <w:tcW w:w="84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 w:val="16"/>
                <w:szCs w:val="16"/>
                <w:lang w:val="en-US" w:eastAsia="zh-CN"/>
              </w:rPr>
              <w:t>样品状态</w:t>
            </w:r>
          </w:p>
        </w:tc>
        <w:tc>
          <w:tcPr>
            <w:tcW w:w="915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正常</w:t>
            </w:r>
          </w:p>
          <w:p>
            <w:pPr>
              <w:spacing w:line="240" w:lineRule="auto"/>
              <w:jc w:val="left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sym w:font="Wingdings" w:char="00A8"/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异常</w:t>
            </w:r>
          </w:p>
        </w:tc>
        <w:tc>
          <w:tcPr>
            <w:tcW w:w="915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检测</w:t>
            </w: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费</w:t>
            </w: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用</w:t>
            </w:r>
          </w:p>
        </w:tc>
        <w:tc>
          <w:tcPr>
            <w:tcW w:w="91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6"/>
                <w:szCs w:val="16"/>
                <w:lang w:val="en-US" w:eastAsia="zh-CN"/>
              </w:rPr>
              <w:t>接收人</w:t>
            </w:r>
          </w:p>
        </w:tc>
        <w:tc>
          <w:tcPr>
            <w:tcW w:w="91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宋体" w:hAnsi="宋体"/>
                <w:b/>
                <w:bCs/>
                <w:color w:val="auto"/>
              </w:rPr>
            </w:pPr>
          </w:p>
        </w:tc>
        <w:tc>
          <w:tcPr>
            <w:tcW w:w="2170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18" w:space="0"/>
            </w:tcBorders>
          </w:tcPr>
          <w:p>
            <w:pPr>
              <w:tabs>
                <w:tab w:val="left" w:pos="9900"/>
              </w:tabs>
              <w:spacing w:line="300" w:lineRule="exact"/>
              <w:rPr>
                <w:rFonts w:ascii="宋体" w:hAnsi="宋体"/>
                <w:color w:val="auto"/>
              </w:rPr>
            </w:pPr>
          </w:p>
        </w:tc>
      </w:tr>
    </w:tbl>
    <w:p>
      <w:pPr>
        <w:jc w:val="left"/>
        <w:rPr>
          <w:color w:val="auto"/>
        </w:rPr>
      </w:pPr>
      <w:r>
        <w:rPr>
          <w:rFonts w:hint="eastAsia" w:ascii="宋体" w:hAnsi="宋体" w:eastAsia="宋体" w:cs="宋体"/>
          <w:color w:val="auto"/>
          <w:spacing w:val="-11"/>
          <w:sz w:val="20"/>
          <w:szCs w:val="20"/>
        </w:rPr>
        <w:t>地址：广东省中山市石岐街道起湾道5号A栋一层二层、B栋一层9卡、二层 10 卡</w:t>
      </w:r>
      <w:r>
        <w:rPr>
          <w:rFonts w:hint="eastAsia" w:ascii="宋体" w:hAnsi="宋体" w:cs="宋体"/>
          <w:color w:val="auto"/>
          <w:spacing w:val="-11"/>
          <w:sz w:val="20"/>
          <w:szCs w:val="2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-11"/>
          <w:sz w:val="20"/>
          <w:szCs w:val="20"/>
        </w:rPr>
        <w:t>电话：</w:t>
      </w:r>
      <w:r>
        <w:rPr>
          <w:rFonts w:hint="default" w:ascii="Times New Roman" w:hAnsi="Times New Roman" w:eastAsia="宋体" w:cs="Times New Roman"/>
          <w:color w:val="auto"/>
          <w:spacing w:val="-11"/>
          <w:sz w:val="20"/>
          <w:szCs w:val="20"/>
        </w:rPr>
        <w:t>0760-88668988</w:t>
      </w:r>
      <w:r>
        <w:rPr>
          <w:rFonts w:hint="eastAsia" w:cs="Times New Roman"/>
          <w:color w:val="auto"/>
          <w:spacing w:val="-11"/>
          <w:sz w:val="20"/>
          <w:szCs w:val="2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-11"/>
          <w:sz w:val="20"/>
          <w:szCs w:val="20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sz w:val="20"/>
          <w:szCs w:val="20"/>
        </w:rPr>
        <w:t>0760-88222350</w:t>
      </w:r>
      <w:r>
        <w:rPr>
          <w:rFonts w:hint="eastAsia" w:cs="Times New Roman"/>
          <w:color w:val="auto"/>
          <w:spacing w:val="-11"/>
          <w:sz w:val="20"/>
          <w:szCs w:val="2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-11"/>
          <w:sz w:val="20"/>
          <w:szCs w:val="20"/>
        </w:rPr>
        <w:t>邮政编码：</w:t>
      </w:r>
      <w:r>
        <w:rPr>
          <w:rFonts w:hint="eastAsia" w:ascii="Times New Roman" w:hAnsi="Times New Roman" w:eastAsia="宋体" w:cs="Times New Roman"/>
          <w:color w:val="auto"/>
          <w:spacing w:val="-11"/>
          <w:sz w:val="20"/>
          <w:szCs w:val="20"/>
        </w:rPr>
        <w:t>528405</w:t>
      </w:r>
      <w:r>
        <w:rPr>
          <w:rFonts w:hint="eastAsia" w:cs="Times New Roman"/>
          <w:color w:val="auto"/>
          <w:spacing w:val="-11"/>
          <w:sz w:val="20"/>
          <w:szCs w:val="20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color w:val="auto"/>
          <w:spacing w:val="-11"/>
          <w:sz w:val="20"/>
          <w:szCs w:val="20"/>
        </w:rPr>
        <w:t>E-mail: info@gddadao.com</w:t>
      </w:r>
    </w:p>
    <w:sectPr>
      <w:headerReference r:id="rId3" w:type="default"/>
      <w:pgSz w:w="16838" w:h="11906" w:orient="landscape"/>
      <w:pgMar w:top="850" w:right="851" w:bottom="283" w:left="1247" w:header="340" w:footer="113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eastAsia" w:ascii="黑体" w:hAnsi="黑体" w:eastAsia="黑体" w:cs="黑体"/>
        <w:spacing w:val="2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686D72"/>
    <w:multiLevelType w:val="multilevel"/>
    <w:tmpl w:val="3E686D72"/>
    <w:lvl w:ilvl="0" w:tentative="0">
      <w:start w:val="0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YzOTgzMjA2MWE2ZjNlNmM5ZmNhYmI2MjQ2ZTY4NmYifQ=="/>
    <w:docVar w:name="KSO_WPS_MARK_KEY" w:val="31e65a82-7db3-4d21-a286-82d7a04b21f4"/>
  </w:docVars>
  <w:rsids>
    <w:rsidRoot w:val="00366593"/>
    <w:rsid w:val="00007D11"/>
    <w:rsid w:val="000116E0"/>
    <w:rsid w:val="00017CC6"/>
    <w:rsid w:val="00035B4B"/>
    <w:rsid w:val="0008678D"/>
    <w:rsid w:val="000A5BF9"/>
    <w:rsid w:val="000B1CFC"/>
    <w:rsid w:val="000C5B29"/>
    <w:rsid w:val="000F70F1"/>
    <w:rsid w:val="00110D8C"/>
    <w:rsid w:val="00181AE9"/>
    <w:rsid w:val="00196FA7"/>
    <w:rsid w:val="001A6A4F"/>
    <w:rsid w:val="001D397F"/>
    <w:rsid w:val="00251730"/>
    <w:rsid w:val="002568BB"/>
    <w:rsid w:val="00293CEB"/>
    <w:rsid w:val="00295FC1"/>
    <w:rsid w:val="002E09DA"/>
    <w:rsid w:val="002F344C"/>
    <w:rsid w:val="002F664D"/>
    <w:rsid w:val="00302B34"/>
    <w:rsid w:val="00366593"/>
    <w:rsid w:val="003751CE"/>
    <w:rsid w:val="003D21D5"/>
    <w:rsid w:val="003E68B4"/>
    <w:rsid w:val="00433EFE"/>
    <w:rsid w:val="00470DA1"/>
    <w:rsid w:val="0049102C"/>
    <w:rsid w:val="00496881"/>
    <w:rsid w:val="004F4B85"/>
    <w:rsid w:val="00543ED1"/>
    <w:rsid w:val="00551170"/>
    <w:rsid w:val="00557D47"/>
    <w:rsid w:val="00582532"/>
    <w:rsid w:val="005864F1"/>
    <w:rsid w:val="005867D0"/>
    <w:rsid w:val="00615A7A"/>
    <w:rsid w:val="006349C0"/>
    <w:rsid w:val="00634D2B"/>
    <w:rsid w:val="00646E2F"/>
    <w:rsid w:val="006563F1"/>
    <w:rsid w:val="006610A6"/>
    <w:rsid w:val="00675A6A"/>
    <w:rsid w:val="006853D2"/>
    <w:rsid w:val="006A0033"/>
    <w:rsid w:val="006A4AD3"/>
    <w:rsid w:val="006D255F"/>
    <w:rsid w:val="006D55EF"/>
    <w:rsid w:val="006E603E"/>
    <w:rsid w:val="0070291F"/>
    <w:rsid w:val="007405E6"/>
    <w:rsid w:val="007537C2"/>
    <w:rsid w:val="00762EB0"/>
    <w:rsid w:val="0077326C"/>
    <w:rsid w:val="007950E4"/>
    <w:rsid w:val="007D0939"/>
    <w:rsid w:val="00802E02"/>
    <w:rsid w:val="00827A21"/>
    <w:rsid w:val="008B6899"/>
    <w:rsid w:val="008C5B82"/>
    <w:rsid w:val="008E182E"/>
    <w:rsid w:val="008F2CF4"/>
    <w:rsid w:val="00916314"/>
    <w:rsid w:val="00921708"/>
    <w:rsid w:val="009D2DDD"/>
    <w:rsid w:val="00A041F8"/>
    <w:rsid w:val="00A04FF8"/>
    <w:rsid w:val="00A13E37"/>
    <w:rsid w:val="00AB2B57"/>
    <w:rsid w:val="00AC13F0"/>
    <w:rsid w:val="00B22A30"/>
    <w:rsid w:val="00B419E7"/>
    <w:rsid w:val="00B53072"/>
    <w:rsid w:val="00BB2B7B"/>
    <w:rsid w:val="00BB7CE2"/>
    <w:rsid w:val="00BF106A"/>
    <w:rsid w:val="00C531D1"/>
    <w:rsid w:val="00C5408D"/>
    <w:rsid w:val="00C6409D"/>
    <w:rsid w:val="00C73047"/>
    <w:rsid w:val="00C871A2"/>
    <w:rsid w:val="00C877DB"/>
    <w:rsid w:val="00CC5533"/>
    <w:rsid w:val="00D23ED0"/>
    <w:rsid w:val="00D35533"/>
    <w:rsid w:val="00D5750F"/>
    <w:rsid w:val="00D60058"/>
    <w:rsid w:val="00D8612B"/>
    <w:rsid w:val="00D90F07"/>
    <w:rsid w:val="00DC07EA"/>
    <w:rsid w:val="00DF76D0"/>
    <w:rsid w:val="00E12009"/>
    <w:rsid w:val="00E30DD9"/>
    <w:rsid w:val="00E36734"/>
    <w:rsid w:val="00EA4627"/>
    <w:rsid w:val="00EA490F"/>
    <w:rsid w:val="00EC1D0C"/>
    <w:rsid w:val="00F10A10"/>
    <w:rsid w:val="00F26AB6"/>
    <w:rsid w:val="00F56B2F"/>
    <w:rsid w:val="00FB43D7"/>
    <w:rsid w:val="05A24BFB"/>
    <w:rsid w:val="077D5189"/>
    <w:rsid w:val="0ADF2951"/>
    <w:rsid w:val="0FB231E8"/>
    <w:rsid w:val="12F81DCF"/>
    <w:rsid w:val="16A65073"/>
    <w:rsid w:val="1D2B14F4"/>
    <w:rsid w:val="1DBB437A"/>
    <w:rsid w:val="1E6E2CDC"/>
    <w:rsid w:val="21B4083B"/>
    <w:rsid w:val="26A6094F"/>
    <w:rsid w:val="293371E8"/>
    <w:rsid w:val="29EC7BE7"/>
    <w:rsid w:val="2B1071A9"/>
    <w:rsid w:val="2BC57A12"/>
    <w:rsid w:val="2CAD244E"/>
    <w:rsid w:val="32AE5149"/>
    <w:rsid w:val="34AD2D1D"/>
    <w:rsid w:val="375E4C3D"/>
    <w:rsid w:val="37DE56EA"/>
    <w:rsid w:val="39FB4196"/>
    <w:rsid w:val="3A721611"/>
    <w:rsid w:val="3ACA755B"/>
    <w:rsid w:val="3B320C8D"/>
    <w:rsid w:val="3DAF3F47"/>
    <w:rsid w:val="41F721A1"/>
    <w:rsid w:val="47864FED"/>
    <w:rsid w:val="4789405F"/>
    <w:rsid w:val="487E40E0"/>
    <w:rsid w:val="4A8C17D0"/>
    <w:rsid w:val="50AE54E5"/>
    <w:rsid w:val="51134DB0"/>
    <w:rsid w:val="51F43725"/>
    <w:rsid w:val="5573448C"/>
    <w:rsid w:val="571F71C6"/>
    <w:rsid w:val="57B045EF"/>
    <w:rsid w:val="5B3854E3"/>
    <w:rsid w:val="5D6E35F1"/>
    <w:rsid w:val="5F300087"/>
    <w:rsid w:val="60B851C9"/>
    <w:rsid w:val="68421644"/>
    <w:rsid w:val="6B0E030A"/>
    <w:rsid w:val="6CDA2AEF"/>
    <w:rsid w:val="6DD05A91"/>
    <w:rsid w:val="6F6E5183"/>
    <w:rsid w:val="6FE377B4"/>
    <w:rsid w:val="703C62A9"/>
    <w:rsid w:val="797E4A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Hyperlink"/>
    <w:qFormat/>
    <w:uiPriority w:val="0"/>
    <w:rPr>
      <w:color w:val="0000FF"/>
      <w:u w:val="single"/>
    </w:rPr>
  </w:style>
  <w:style w:type="paragraph" w:customStyle="1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1</Pages>
  <Words>647</Words>
  <Characters>768</Characters>
  <Lines>6</Lines>
  <Paragraphs>1</Paragraphs>
  <TotalTime>1</TotalTime>
  <ScaleCrop>false</ScaleCrop>
  <LinksUpToDate>false</LinksUpToDate>
  <CharactersWithSpaces>967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2019-11-29T02:23:00Z</dcterms:created>
  <dc:creator>微软中国</dc:creator>
  <cp:lastModifiedBy>admin</cp:lastModifiedBy>
  <cp:lastPrinted>2020-07-08T13:21:00Z</cp:lastPrinted>
  <dcterms:modified xsi:type="dcterms:W3CDTF">2025-01-11T01:20:32Z</dcterms:modified>
  <dc:title>中山市聚科源建设工程检测有限公司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4BBD2A01EAE34AAC849643BFC7F94573_12</vt:lpwstr>
  </property>
</Properties>
</file>